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NOTA PER LA STAMPA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" w:hanging="3"/>
        <w:jc w:val="center"/>
        <w:rPr>
          <w:rFonts w:ascii="Trebuchet MS" w:eastAsia="Trebuchet MS" w:hAnsi="Trebuchet MS" w:cs="Trebuchet MS"/>
          <w:b/>
          <w:color w:val="000000"/>
          <w:sz w:val="28"/>
          <w:szCs w:val="28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  <w:highlight w:val="white"/>
        </w:rPr>
        <w:t>CODING GIRLS IN ICT DAY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highlight w:val="white"/>
        </w:rPr>
        <w:t>La diversità di genere come fattore abilitante per l’innovazione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Trebuchet MS" w:eastAsia="Trebuchet MS" w:hAnsi="Trebuchet MS" w:cs="Trebuchet MS"/>
          <w:b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highlight w:val="white"/>
        </w:rPr>
        <w:t>Per la grande cordata educativa di Coding Girls la formazione nelle materie Stem, dalla programmazione all’intelligenza artificiale, è uno snodo fondamentale per abilitare le donne a essere protagoniste dei lavori del futuro. Giovedì prossimo 28 aprile, in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 xml:space="preserve"> occasione del Girls in ICT Day, evento live e attività in presenza negli atenei di Torino, Milano, Roma e Palermo.</w:t>
      </w:r>
      <w:r>
        <w:rPr>
          <w:color w:val="000000"/>
        </w:rPr>
        <w:t xml:space="preserve"> 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 xml:space="preserve">Le donne continuano a essere sotto rappresentate nelle professioni emergenti. Nel </w:t>
      </w:r>
      <w:r>
        <w:rPr>
          <w:rFonts w:ascii="Trebuchet MS" w:eastAsia="Trebuchet MS" w:hAnsi="Trebuchet MS" w:cs="Trebuchet MS"/>
          <w:i/>
          <w:color w:val="000000"/>
          <w:highlight w:val="white"/>
        </w:rPr>
        <w:t>cloud computing</w:t>
      </w:r>
      <w:r>
        <w:rPr>
          <w:rFonts w:ascii="Trebuchet MS" w:eastAsia="Trebuchet MS" w:hAnsi="Trebuchet MS" w:cs="Trebuchet MS"/>
          <w:color w:val="000000"/>
          <w:highlight w:val="white"/>
        </w:rPr>
        <w:t>, ad esempio, solo il 12% dei professionisti è donna. Nei ruoli legati all’ingegneria, come analisi dei dati e intelligenza artificiale, i numeri sono rispettivamente del 15% e del 26%. Ecco perché le Coding Girls della Fondazione Mondo Digitale si mobilit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ano anche in occasione del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 xml:space="preserve"> Girls in ICT Day</w:t>
      </w:r>
      <w:r>
        <w:rPr>
          <w:rFonts w:ascii="Trebuchet MS" w:eastAsia="Trebuchet MS" w:hAnsi="Trebuchet MS" w:cs="Trebuchet MS"/>
          <w:color w:val="000000"/>
          <w:highlight w:val="white"/>
        </w:rPr>
        <w:t>, la giornata promossa dall’International Telecommunication Union (ITU), per incoraggiare le ragazze e le giovani donne a intraprendere percorsi professionali nel settore delle tecnologie e trasformare la diversi</w:t>
      </w:r>
      <w:r>
        <w:rPr>
          <w:rFonts w:ascii="Trebuchet MS" w:eastAsia="Trebuchet MS" w:hAnsi="Trebuchet MS" w:cs="Trebuchet MS"/>
          <w:color w:val="000000"/>
          <w:highlight w:val="white"/>
        </w:rPr>
        <w:t>tà di genere in un fattore abilitante per l’innovazione. Il tema di quest'anno è "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Accesso e sicurezza</w:t>
      </w:r>
      <w:r>
        <w:rPr>
          <w:rFonts w:ascii="Trebuchet MS" w:eastAsia="Trebuchet MS" w:hAnsi="Trebuchet MS" w:cs="Trebuchet MS"/>
          <w:color w:val="000000"/>
          <w:highlight w:val="white"/>
        </w:rPr>
        <w:t>", per eliminare le barriere che ancora oggi incontrano le ragazze e aumentare la loro sicurezza nell'ambiente digitale.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Nella giornata del prossimo 28 apr</w:t>
      </w:r>
      <w:r>
        <w:rPr>
          <w:rFonts w:ascii="Trebuchet MS" w:eastAsia="Trebuchet MS" w:hAnsi="Trebuchet MS" w:cs="Trebuchet MS"/>
          <w:color w:val="000000"/>
          <w:highlight w:val="white"/>
        </w:rPr>
        <w:t>ile, ricorrenza del GICT Day, le Coding Girls, insieme agli atenei partner, coinvolgono le studentesse degli istituti superiori in una serie di incontri di orientamento e sessioni di role modeling, con l’obiettivo di esplorare gli scenari offerti dalle nuo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ve tecnologie e incentivare le ragazze a scegliere carriere Stem. 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L’evento di apertura, che si svolge online a partire dalle 10.30 in collegamento con gli atenei di dieci città, è anche occasione per presentare i risultati raggiunti dall’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ottava edizione d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i Coding Girls</w:t>
      </w:r>
      <w:r>
        <w:rPr>
          <w:rFonts w:ascii="Trebuchet MS" w:eastAsia="Trebuchet MS" w:hAnsi="Trebuchet MS" w:cs="Trebuchet MS"/>
          <w:color w:val="000000"/>
          <w:highlight w:val="white"/>
        </w:rPr>
        <w:t>, il programma di Fondazione Mondo Digitale e Missione Diplomatica Usa in Italia, in collaborazione con Microsoft, nato per abbattere i pregiudizi di genere nei settori scientifici e tecnologici caratterizzati ancora da carenze di competenze,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ma da numerose opportunità professionali. L’ottava edizione ha coinvolto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15.000 studentesse di 47 città e 32 partner accademici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. </w:t>
      </w:r>
      <w:r>
        <w:rPr>
          <w:rFonts w:ascii="Trebuchet MS" w:eastAsia="Trebuchet MS" w:hAnsi="Trebuchet MS" w:cs="Trebuchet MS"/>
          <w:highlight w:val="white"/>
        </w:rPr>
        <w:t>A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Torino la sperimentazione condotta con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Fondazione Compagnia di San Paolo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ha rilevato l’impatto del programma nel superamento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degli stereotipi di genere. 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 xml:space="preserve">Ad aprire la sessione live, moderata dalla giornalista TG1 Rai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Alma Grandin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è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Roberta Cocco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consulente del Ministro per l'innovazione tecnologica e la transizione digitale. Intervengono: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Mirta Michilli</w:t>
      </w:r>
      <w:r>
        <w:rPr>
          <w:rFonts w:ascii="Trebuchet MS" w:eastAsia="Trebuchet MS" w:hAnsi="Trebuchet MS" w:cs="Trebuchet MS"/>
          <w:color w:val="000000"/>
          <w:highlight w:val="white"/>
        </w:rPr>
        <w:t>, direttrice generale d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ella Fondazione Mondo Digitale;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Ruth Newman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Deputy Spokeperson, US Embassy, Rome;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Annamaria Bottero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direttrice della divisione Customer Experience &amp; Success di Microsoft Italia;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Rosanna Ventrella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vice presidente della Fondazione Compagnia di San Paolo. </w:t>
      </w:r>
      <w:r>
        <w:rPr>
          <w:rFonts w:ascii="Trebuchet MS" w:eastAsia="Trebuchet MS" w:hAnsi="Trebuchet MS" w:cs="Trebuchet MS"/>
          <w:color w:val="000000"/>
          <w:highlight w:val="white"/>
        </w:rPr>
        <w:t>Seguono i saluti degli atenei partner della cordata formativa. “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L’intelligenza artificiale è una sfida da ragazze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" è il titolo del contributo di </w:t>
      </w:r>
      <w:r>
        <w:rPr>
          <w:rFonts w:ascii="Trebuchet MS" w:eastAsia="Trebuchet MS" w:hAnsi="Trebuchet MS" w:cs="Trebuchet MS"/>
          <w:b/>
          <w:color w:val="000000"/>
          <w:highlight w:val="white"/>
        </w:rPr>
        <w:t>Elisa Benetti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, senior consultant @asUgo, partner Women in Big Data, che conclude la sessione live. 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Le attività della mattina proseguono fino alle 13 con gli incontri in presenza presso alcune università partner nelle città di Roma, Milano, Torino e Palermo.</w:t>
      </w:r>
    </w:p>
    <w:p w:rsidR="0075028D" w:rsidRDefault="007502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</w:p>
    <w:p w:rsidR="0075028D" w:rsidRDefault="00735A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Roma, 27</w:t>
      </w:r>
      <w:bookmarkStart w:id="0" w:name="_GoBack"/>
      <w:bookmarkEnd w:id="0"/>
      <w:r w:rsidR="006C5BA6">
        <w:rPr>
          <w:rFonts w:ascii="Trebuchet MS" w:eastAsia="Trebuchet MS" w:hAnsi="Trebuchet MS" w:cs="Trebuchet MS"/>
          <w:color w:val="000000"/>
          <w:highlight w:val="white"/>
        </w:rPr>
        <w:t xml:space="preserve"> aprile 2022</w:t>
      </w:r>
    </w:p>
    <w:p w:rsidR="0075028D" w:rsidRDefault="007502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color w:val="000000"/>
        </w:rPr>
        <w:t>Fondazione Mondo Digitale, tel. +39 06 42014109, www.mondodigitale.org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Elisa Amorelli +39 338 3043021 e.amorelli@mondodigitale.org</w:t>
      </w:r>
    </w:p>
    <w:p w:rsidR="0075028D" w:rsidRDefault="006C5B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Alberta Testa + 39 389 5665508 a.testa@mondodigitale.org</w:t>
      </w:r>
    </w:p>
    <w:p w:rsidR="0075028D" w:rsidRDefault="0075028D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highlight w:val="white"/>
        </w:rPr>
      </w:pPr>
    </w:p>
    <w:sectPr w:rsidR="0075028D">
      <w:headerReference w:type="default" r:id="rId7"/>
      <w:footerReference w:type="default" r:id="rId8"/>
      <w:pgSz w:w="11906" w:h="16838"/>
      <w:pgMar w:top="2127" w:right="1134" w:bottom="851" w:left="1134" w:header="709" w:footer="7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A6" w:rsidRDefault="006C5BA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C5BA6" w:rsidRDefault="006C5B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D" w:rsidRDefault="006C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63501</wp:posOffset>
              </wp:positionH>
              <wp:positionV relativeFrom="paragraph">
                <wp:posOffset>9855200</wp:posOffset>
              </wp:positionV>
              <wp:extent cx="6129655" cy="4572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935" y="3761903"/>
                        <a:ext cx="612013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51470"/>
                          </a:gs>
                          <a:gs pos="100000">
                            <a:srgbClr val="2471B7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75028D" w:rsidRDefault="0075028D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9855200</wp:posOffset>
              </wp:positionV>
              <wp:extent cx="6129655" cy="4572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2971165</wp:posOffset>
          </wp:positionH>
          <wp:positionV relativeFrom="paragraph">
            <wp:posOffset>120015</wp:posOffset>
          </wp:positionV>
          <wp:extent cx="1012825" cy="44513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25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-221614</wp:posOffset>
          </wp:positionH>
          <wp:positionV relativeFrom="paragraph">
            <wp:posOffset>5080</wp:posOffset>
          </wp:positionV>
          <wp:extent cx="3139440" cy="611505"/>
          <wp:effectExtent l="0" t="0" r="0" b="0"/>
          <wp:wrapNone/>
          <wp:docPr id="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 t="20660" b="2824"/>
                  <a:stretch>
                    <a:fillRect/>
                  </a:stretch>
                </pic:blipFill>
                <pic:spPr>
                  <a:xfrm>
                    <a:off x="0" y="0"/>
                    <a:ext cx="313944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4119245</wp:posOffset>
          </wp:positionH>
          <wp:positionV relativeFrom="paragraph">
            <wp:posOffset>147320</wp:posOffset>
          </wp:positionV>
          <wp:extent cx="1137920" cy="39116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t="15213" b="19880"/>
                  <a:stretch>
                    <a:fillRect/>
                  </a:stretch>
                </pic:blipFill>
                <pic:spPr>
                  <a:xfrm>
                    <a:off x="0" y="0"/>
                    <a:ext cx="1137920" cy="391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5382260</wp:posOffset>
          </wp:positionH>
          <wp:positionV relativeFrom="paragraph">
            <wp:posOffset>74295</wp:posOffset>
          </wp:positionV>
          <wp:extent cx="899160" cy="5048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16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A6" w:rsidRDefault="006C5B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C5BA6" w:rsidRDefault="006C5B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D" w:rsidRDefault="006C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rFonts w:ascii="Trebuchet MS" w:eastAsia="Trebuchet MS" w:hAnsi="Trebuchet MS" w:cs="Trebuchet MS"/>
        <w:color w:val="E51470"/>
        <w:sz w:val="28"/>
        <w:szCs w:val="28"/>
      </w:rPr>
    </w:pPr>
    <w:r>
      <w:rPr>
        <w:noProof/>
        <w:color w:val="000000"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align>center</wp:align>
              </wp:positionH>
              <wp:positionV relativeFrom="page">
                <wp:posOffset>1107758</wp:posOffset>
              </wp:positionV>
              <wp:extent cx="6129655" cy="4572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935" y="3761903"/>
                        <a:ext cx="612013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E51470"/>
                          </a:gs>
                          <a:gs pos="100000">
                            <a:srgbClr val="2471B7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75028D" w:rsidRDefault="0075028D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page">
                <wp:posOffset>1107758</wp:posOffset>
              </wp:positionV>
              <wp:extent cx="6129655" cy="4572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965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rebuchet MS" w:eastAsia="Trebuchet MS" w:hAnsi="Trebuchet MS" w:cs="Trebuchet MS"/>
        <w:b/>
        <w:color w:val="E51470"/>
        <w:sz w:val="28"/>
        <w:szCs w:val="28"/>
      </w:rPr>
      <w:t xml:space="preserve">RAGAZZE E DONNE CHE PROGRAMMANO IL FUTURO  </w: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-212089</wp:posOffset>
          </wp:positionV>
          <wp:extent cx="1349375" cy="80962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937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028D" w:rsidRDefault="006C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rFonts w:ascii="Trebuchet MS" w:eastAsia="Trebuchet MS" w:hAnsi="Trebuchet MS" w:cs="Trebuchet MS"/>
        <w:color w:val="2471B7"/>
        <w:sz w:val="24"/>
        <w:szCs w:val="24"/>
      </w:rPr>
    </w:pPr>
    <w:r>
      <w:rPr>
        <w:rFonts w:ascii="Trebuchet MS" w:eastAsia="Trebuchet MS" w:hAnsi="Trebuchet MS" w:cs="Trebuchet MS"/>
        <w:color w:val="2471B7"/>
        <w:sz w:val="24"/>
        <w:szCs w:val="24"/>
      </w:rPr>
      <w:t>ottava edizione | a.s. 2021-22</w:t>
    </w:r>
  </w:p>
  <w:p w:rsidR="0075028D" w:rsidRDefault="006C5B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rFonts w:ascii="Trebuchet MS" w:eastAsia="Trebuchet MS" w:hAnsi="Trebuchet MS" w:cs="Trebuchet MS"/>
        <w:color w:val="2471B7"/>
        <w:sz w:val="24"/>
        <w:szCs w:val="24"/>
      </w:rPr>
    </w:pPr>
    <w:r>
      <w:rPr>
        <w:rFonts w:ascii="Trebuchet MS" w:eastAsia="Trebuchet MS" w:hAnsi="Trebuchet MS" w:cs="Trebuchet MS"/>
        <w:color w:val="2471B7"/>
        <w:sz w:val="24"/>
        <w:szCs w:val="24"/>
      </w:rPr>
      <w:t xml:space="preserve"> 28 aprile 2022 | #GirlsinICT #CodinGirls </w:t>
    </w:r>
  </w:p>
  <w:p w:rsidR="0075028D" w:rsidRDefault="007502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2471B7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8D"/>
    <w:rsid w:val="006C5BA6"/>
    <w:rsid w:val="00735A5D"/>
    <w:rsid w:val="007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A6B79-7EE1-46CB-803A-3D56010F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1-Colore21">
    <w:name w:val="Griglia media 1 - Colore 21"/>
    <w:basedOn w:val="Normale"/>
    <w:pPr>
      <w:suppressAutoHyphens w:val="0"/>
      <w:ind w:left="720"/>
    </w:pPr>
    <w:rPr>
      <w:lang w:eastAsia="ar-SA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paragraph" w:customStyle="1" w:styleId="m6070629631590663348m3380052992153163688msoplaintext">
    <w:name w:val="m_6070629631590663348m_3380052992153163688msoplaintext"/>
    <w:basedOn w:val="Normal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table" w:styleId="Tabellasemplice-1">
    <w:name w:val="Plain Table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asemplice5">
    <w:name w:val="Plain Table 5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styleId="Tabellagriglia1chiara-colore1">
    <w:name w:val="Grid Table 1 Light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</w:style>
  <w:style w:type="table" w:styleId="Grigliatabellachiara">
    <w:name w:val="Grid Table Light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rigliachiara-Colore31">
    <w:name w:val="Griglia chiara - Colore 31"/>
    <w:basedOn w:val="Normale"/>
    <w:pPr>
      <w:spacing w:after="160" w:line="259" w:lineRule="auto"/>
      <w:ind w:left="720"/>
      <w:contextualSpacing/>
    </w:pPr>
    <w:rPr>
      <w:rFonts w:cs="Times New Roman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Lines="1" w:afterLines="1" w:after="0" w:line="240" w:lineRule="auto"/>
    </w:pPr>
    <w:rPr>
      <w:rFonts w:ascii="Times" w:hAnsi="Times"/>
      <w:sz w:val="20"/>
      <w:szCs w:val="20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Qr9eFxqooBg+GeuW+GVpEDtfw==">AMUW2mW0SNHy4etuqsUR+D27kyrQgXpOF2y/AxF9eGdjxgut+yGX0bc08aJD8dBsWaiE/fJFKKp+xnFn+7/6gMrp3iVqmTutMaqzCPJ558HaivQUkszCJsg=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dcterms:created xsi:type="dcterms:W3CDTF">2022-04-26T07:44:00Z</dcterms:created>
  <dcterms:modified xsi:type="dcterms:W3CDTF">2022-04-27T07:58:00Z</dcterms:modified>
</cp:coreProperties>
</file>